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MAL BİLDİRİM FORMU NEDİR VE NASIL DOLDURULUR?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TC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Yeri ve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Görev Unvanı ve Kurumu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Hali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Eşin Adı Soyadı ve TC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Bakmakla Yükümlü Olunan Çocukların Adı Soyadı ve TC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Taşınmaz Mallar (cins, ada, parsel, yüzölçümü, hisse oranı, edinme tarihi)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Taşınır Mallar (menkul kıymet, altın, döviz, nakit, banka hesabı, araç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Alacaklar (borçlu adı, miktar, vade)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Borçlar (alacaklı adı, miktar, faiz oranı, vade)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Gelirler (maaş, kira, faiz, temettü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 ve Tarih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