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BEYANNAME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VERGİ BEYANNAMESİ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Mükellef Adı Soyadı / 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Vergi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Bağlı Olduğu Vergi Dairesi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Beyanname Türü (Gelir/Kurum/KDV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Dönem (Yıl/Ay)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Matrah (Vergiye Tabi Tutar)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İndirimler ve İstisnalar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Hesaplanan Vergi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Mahsuben Ödenen Vergi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Ödenecek Vergi / İade Edilecek Tutar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Banka Hesap Bilgileri (İade durumunda)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 / E-İmza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